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bookmarkStart w:id="0" w:name="_GoBack"/>
      <w:bookmarkEnd w:id="0"/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270D19" w:rsidP="007E6BD7">
            <w:pPr>
              <w:pStyle w:val="a3"/>
              <w:jc w:val="left"/>
            </w:pPr>
            <w:r>
              <w:t>№ 7</w:t>
            </w:r>
            <w:r>
              <w:rPr>
                <w:lang w:val="en-US"/>
              </w:rPr>
              <w:t>3</w:t>
            </w:r>
            <w:r>
              <w:t xml:space="preserve"> от 19.10</w:t>
            </w:r>
            <w:r w:rsidR="00027F05">
              <w:t>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Pr="00270D19" w:rsidRDefault="00270D19" w:rsidP="00027F05">
            <w:pPr>
              <w:rPr>
                <w:szCs w:val="28"/>
              </w:rPr>
            </w:pPr>
            <w:r w:rsidRPr="00270D19">
              <w:rPr>
                <w:szCs w:val="28"/>
              </w:rPr>
              <w:t>357,5</w:t>
            </w:r>
            <w:r w:rsidR="002A51FB" w:rsidRPr="00270D19">
              <w:rPr>
                <w:szCs w:val="28"/>
              </w:rPr>
              <w:t xml:space="preserve">0 </w:t>
            </w:r>
            <w:r w:rsidR="00027F05" w:rsidRPr="00270D19">
              <w:rPr>
                <w:szCs w:val="28"/>
              </w:rPr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EF58F0">
            <w:r>
              <w:t xml:space="preserve">Дивиденды перечисляются в безналичном порядке на расчетный счет </w:t>
            </w:r>
            <w:r w:rsidR="00270D19">
              <w:t>акционера в банке в срок с 19.</w:t>
            </w:r>
            <w:r w:rsidR="00270D19" w:rsidRPr="00270D19">
              <w:t>10</w:t>
            </w:r>
            <w:r w:rsidR="00DA613E">
              <w:t>.2018 по</w:t>
            </w:r>
            <w:r w:rsidR="00270D19">
              <w:t xml:space="preserve"> 31.</w:t>
            </w:r>
            <w:r w:rsidR="00270D19" w:rsidRPr="00270D19">
              <w:t>10</w:t>
            </w:r>
            <w:r w:rsidR="00DA613E">
              <w:t>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62050"/>
    <w:rsid w:val="001B5B42"/>
    <w:rsid w:val="00270D19"/>
    <w:rsid w:val="002A51FB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53B9B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2018-08-07T15:49:00Z</cp:lastPrinted>
  <dcterms:created xsi:type="dcterms:W3CDTF">2018-10-22T09:02:00Z</dcterms:created>
  <dcterms:modified xsi:type="dcterms:W3CDTF">2018-10-22T09:02:00Z</dcterms:modified>
</cp:coreProperties>
</file>