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6865"/>
      </w:tblGrid>
      <w:tr w:rsidR="008C4BB5" w:rsidRPr="008C4BB5" w:rsidTr="00445778">
        <w:trPr>
          <w:trHeight w:val="236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newncpi"/>
            </w:pPr>
            <w:r w:rsidRPr="008C4BB5">
              <w:t> 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E10" w:rsidRPr="00A42FD1" w:rsidRDefault="007A4E10" w:rsidP="0044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0" w:firstLine="1124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bookmarkStart w:id="0" w:name="a110"/>
            <w:bookmarkEnd w:id="0"/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Бланк Поруче</w:t>
            </w:r>
            <w:r w:rsidR="00B5401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ния «депо» для осуществления </w:t>
            </w:r>
            <w:proofErr w:type="spellStart"/>
            <w:r w:rsidR="00B5401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внутри</w:t>
            </w:r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депозитарного</w:t>
            </w:r>
            <w:proofErr w:type="spellEnd"/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перевода</w:t>
            </w:r>
          </w:p>
          <w:p w:rsidR="008C4BB5" w:rsidRPr="008C4BB5" w:rsidRDefault="008C4BB5" w:rsidP="001A1CAB">
            <w:pPr>
              <w:pStyle w:val="append"/>
              <w:ind w:left="-5" w:firstLine="5"/>
              <w:jc w:val="right"/>
            </w:pPr>
          </w:p>
        </w:tc>
      </w:tr>
    </w:tbl>
    <w:p w:rsidR="008C4BB5" w:rsidRPr="00C63FFC" w:rsidRDefault="008C4BB5" w:rsidP="008C4BB5">
      <w:pPr>
        <w:pStyle w:val="titlep"/>
        <w:spacing w:before="0" w:after="0"/>
        <w:rPr>
          <w:sz w:val="20"/>
          <w:szCs w:val="20"/>
        </w:rPr>
      </w:pPr>
      <w:r w:rsidRPr="00C63FFC">
        <w:rPr>
          <w:sz w:val="20"/>
          <w:szCs w:val="20"/>
        </w:rPr>
        <w:t>Поручение «депо» на перевод ценных бумаг</w:t>
      </w:r>
    </w:p>
    <w:p w:rsidR="008C4BB5" w:rsidRPr="00C63FFC" w:rsidRDefault="008C4BB5" w:rsidP="008C4BB5">
      <w:pPr>
        <w:pStyle w:val="newncpi0"/>
        <w:spacing w:after="240"/>
        <w:jc w:val="center"/>
        <w:rPr>
          <w:sz w:val="20"/>
          <w:szCs w:val="20"/>
        </w:rPr>
      </w:pPr>
      <w:r w:rsidRPr="00C63FFC">
        <w:rPr>
          <w:sz w:val="20"/>
          <w:szCs w:val="20"/>
        </w:rPr>
        <w:t>№ ______ от __ ____________ 20__ г.</w:t>
      </w:r>
    </w:p>
    <w:tbl>
      <w:tblPr>
        <w:tblW w:w="5525" w:type="pct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54"/>
        <w:gridCol w:w="817"/>
        <w:gridCol w:w="1611"/>
        <w:gridCol w:w="106"/>
        <w:gridCol w:w="2349"/>
        <w:gridCol w:w="1281"/>
        <w:gridCol w:w="2122"/>
      </w:tblGrid>
      <w:tr w:rsidR="008C4BB5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C63FFC" w:rsidRDefault="00445778" w:rsidP="00445778">
            <w:pPr>
              <w:pStyle w:val="table10"/>
            </w:pPr>
            <w:r w:rsidRPr="00FD2DD5">
              <w:t>Национальный идентификационный код выпуска эмиссионных ценных бумаг (международные идентификационные коды (ISIN, CFI, FISN))</w:t>
            </w:r>
            <w:r w:rsidRPr="00FD2DD5">
              <w:rPr>
                <w:vertAlign w:val="superscript"/>
              </w:rPr>
              <w:t>1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52" w:rsidRDefault="00014952">
            <w:pPr>
              <w:pStyle w:val="table10"/>
              <w:rPr>
                <w:i/>
              </w:rPr>
            </w:pPr>
          </w:p>
          <w:p w:rsidR="008C4BB5" w:rsidRPr="00C63FFC" w:rsidRDefault="008C4BB5">
            <w:pPr>
              <w:pStyle w:val="table10"/>
              <w:rPr>
                <w:i/>
              </w:rPr>
            </w:pPr>
            <w:r w:rsidRPr="00C63FFC">
              <w:rPr>
                <w:i/>
              </w:rPr>
              <w:t> </w:t>
            </w:r>
            <w:r w:rsidR="001365D8" w:rsidRPr="00C63FFC">
              <w:rPr>
                <w:i/>
                <w:color w:val="FF0000"/>
              </w:rPr>
              <w:t>Указать национальный идентификационный код выпуска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 xml:space="preserve">Вид, категория и тип эмиссионных ценных бумаг 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Простые (обыкновенные) акции,</w:t>
            </w:r>
          </w:p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Приви</w:t>
            </w:r>
            <w:bookmarkStart w:id="1" w:name="_GoBack"/>
            <w:bookmarkEnd w:id="1"/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легированные акции, </w:t>
            </w:r>
          </w:p>
          <w:p w:rsidR="001365D8" w:rsidRPr="00C63FFC" w:rsidRDefault="001365D8" w:rsidP="00C6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Облигации</w:t>
            </w:r>
            <w:r w:rsid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</w:t>
            </w:r>
            <w:r w:rsidR="00717B5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                    </w:t>
            </w: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 нужное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Сокращенное наименование эмитента эмиссионных ценных бумаг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Указать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  <w:jc w:val="center"/>
            </w:pPr>
            <w:r w:rsidRPr="00C63FFC">
              <w:t>ДЕБЕТ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Переводоотправитель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rPr>
                <w:i/>
                <w:color w:val="FF0000"/>
              </w:rPr>
              <w:t>ПОЛНОЕ наименование юридического лица или фамилия</w:t>
            </w:r>
            <w:r w:rsidR="009E2EF9" w:rsidRPr="00C63FFC">
              <w:rPr>
                <w:i/>
                <w:color w:val="FF0000"/>
              </w:rPr>
              <w:t>,</w:t>
            </w:r>
            <w:r w:rsidRPr="00C63FFC">
              <w:rPr>
                <w:i/>
                <w:color w:val="FF0000"/>
              </w:rPr>
              <w:t xml:space="preserve"> собственное имя, отчество (если таковое имеется) физического лица</w:t>
            </w: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Счет «депо» № </w:t>
            </w:r>
          </w:p>
        </w:tc>
        <w:tc>
          <w:tcPr>
            <w:tcW w:w="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Количество эмиссионных ценных бумаг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Номер раздела счета «депо»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Уточняется в депозитарии РУП «РЦДЦБ»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Указать цифрами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Номер балансового счета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Депозитарий переводоотправителя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РУП «РЦДЦБ»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FD2DD5" w:rsidRDefault="00445778">
            <w:pPr>
              <w:pStyle w:val="table10"/>
            </w:pPr>
            <w:r w:rsidRPr="00FD2DD5">
              <w:t>Корсчет «депо» ЛОРО (счет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FD2DD5" w:rsidRDefault="00445778" w:rsidP="00C63FFC">
            <w:pPr>
              <w:pStyle w:val="table10"/>
            </w:pPr>
            <w:r w:rsidRPr="00FD2DD5">
              <w:t>Раздел</w:t>
            </w:r>
            <w:r w:rsidR="00C63FFC" w:rsidRPr="00FD2DD5">
              <w:t xml:space="preserve"> </w:t>
            </w:r>
            <w:r w:rsidRPr="00FD2DD5">
              <w:t>корсчета «депо» ЛОРО (счета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9E2EF9">
            <w:pPr>
              <w:pStyle w:val="table10"/>
              <w:jc w:val="center"/>
            </w:pPr>
            <w:r w:rsidRPr="00C63FFC">
              <w:t>КРЕДИТ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t xml:space="preserve">Переводополучатель 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rPr>
                <w:i/>
                <w:color w:val="FF0000"/>
              </w:rPr>
              <w:t>ПОЛНОЕ наименование юридического лица или фамилия, собственное имя, отчество (если таковое имеется) физического лица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t>Счет «депо» № 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Указать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t>Номер раздела счета «депо»</w:t>
            </w:r>
            <w:r w:rsidRPr="00C63FFC">
              <w:rPr>
                <w:vertAlign w:val="superscript"/>
              </w:rPr>
              <w:t>2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 либо депозитария переводополучателя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t>Номер балансового счета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</w:t>
            </w:r>
          </w:p>
        </w:tc>
      </w:tr>
      <w:tr w:rsidR="001365D8" w:rsidRPr="00C63FFC" w:rsidTr="00444E4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444E45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pStyle w:val="table10"/>
            </w:pPr>
            <w:r w:rsidRPr="00C63FFC">
              <w:t>Депозитарий переводополучателя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Полное или сокращенное наименование депозитария переводополучателя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FD2DD5" w:rsidRDefault="00445778" w:rsidP="00444E45">
            <w:pPr>
              <w:pStyle w:val="table10"/>
            </w:pPr>
            <w:r w:rsidRPr="00FD2DD5">
              <w:t>Корсчет «депо» ЛОРО (счет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444E45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444E45" w:rsidRPr="00C63FFC" w:rsidRDefault="00444E45" w:rsidP="00444E45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444E45" w:rsidRPr="00C63FFC" w:rsidRDefault="00444E45" w:rsidP="00444E45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FD2DD5" w:rsidRDefault="00445778" w:rsidP="00C63FFC">
            <w:pPr>
              <w:pStyle w:val="table10"/>
            </w:pPr>
            <w:r w:rsidRPr="00FD2DD5">
              <w:t>Раздел</w:t>
            </w:r>
            <w:r w:rsidR="00C63FFC" w:rsidRPr="00FD2DD5">
              <w:t xml:space="preserve"> </w:t>
            </w:r>
            <w:r w:rsidRPr="00FD2DD5">
              <w:t>корсчета «депо» ЛОРО (счета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1365D8" w:rsidRPr="00C63FFC" w:rsidTr="00444E45">
        <w:trPr>
          <w:trHeight w:val="240"/>
        </w:trPr>
        <w:tc>
          <w:tcPr>
            <w:tcW w:w="14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Количество эмиссионных ценных бумаг (прописью)</w:t>
            </w:r>
            <w:r w:rsidRPr="00C63FFC">
              <w:rPr>
                <w:vertAlign w:val="superscript"/>
              </w:rPr>
              <w:t>3</w:t>
            </w:r>
          </w:p>
        </w:tc>
        <w:tc>
          <w:tcPr>
            <w:tcW w:w="351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C6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 прописью</w:t>
            </w: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)  </w:t>
            </w:r>
            <w:r w:rsidRPr="00C63FFC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</w:tr>
      <w:tr w:rsidR="001365D8" w:rsidRPr="00C63FFC" w:rsidTr="00444E45">
        <w:trPr>
          <w:trHeight w:val="240"/>
        </w:trPr>
        <w:tc>
          <w:tcPr>
            <w:tcW w:w="14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Назначение и (или) основание</w:t>
            </w:r>
          </w:p>
        </w:tc>
        <w:tc>
          <w:tcPr>
            <w:tcW w:w="351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Назначение перевода и (или) </w:t>
            </w:r>
            <w:r w:rsidR="009E2EF9"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основание</w:t>
            </w:r>
          </w:p>
          <w:p w:rsidR="001365D8" w:rsidRPr="00C63FFC" w:rsidRDefault="009E2EF9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Н</w:t>
            </w:r>
            <w:r w:rsidR="001365D8"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аименование, номер и дата первичного документа, представленного в депозитарий для осуществления перевода ценных бумаг, и другие сведения</w:t>
            </w:r>
          </w:p>
        </w:tc>
      </w:tr>
      <w:tr w:rsidR="009E2EF9" w:rsidRPr="00C63FFC" w:rsidTr="0044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/>
        </w:trPr>
        <w:tc>
          <w:tcPr>
            <w:tcW w:w="229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EF9" w:rsidRPr="00C63FFC" w:rsidRDefault="009E2EF9">
            <w:pPr>
              <w:pStyle w:val="newncpi0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Подпись (подписи)</w:t>
            </w:r>
            <w:r w:rsidRPr="00C63FFC">
              <w:rPr>
                <w:sz w:val="20"/>
                <w:szCs w:val="20"/>
              </w:rPr>
              <w:br/>
              <w:t>инициатора перевода</w:t>
            </w:r>
            <w:r w:rsidRPr="00C63FFC">
              <w:rPr>
                <w:sz w:val="20"/>
                <w:szCs w:val="20"/>
                <w:vertAlign w:val="superscript"/>
              </w:rPr>
              <w:t>4</w:t>
            </w:r>
          </w:p>
          <w:p w:rsidR="009E2EF9" w:rsidRPr="00C63FFC" w:rsidRDefault="009E2EF9">
            <w:pPr>
              <w:pStyle w:val="newncpi0"/>
              <w:ind w:left="227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М.П.</w:t>
            </w:r>
            <w:r w:rsidRPr="00C63FFC">
              <w:rPr>
                <w:sz w:val="20"/>
                <w:szCs w:val="20"/>
                <w:vertAlign w:val="superscript"/>
              </w:rPr>
              <w:t>5</w:t>
            </w:r>
          </w:p>
          <w:p w:rsidR="009E2EF9" w:rsidRPr="00C63FFC" w:rsidRDefault="009E2EF9">
            <w:pPr>
              <w:pStyle w:val="newncpi0"/>
              <w:ind w:firstLine="561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br/>
              <w:t>Подпись уполномоченного</w:t>
            </w:r>
            <w:r w:rsidRPr="00C63FFC">
              <w:rPr>
                <w:sz w:val="20"/>
                <w:szCs w:val="20"/>
              </w:rPr>
              <w:br/>
              <w:t>работника специализированного депозитария инвестиционного</w:t>
            </w:r>
            <w:r w:rsidRPr="00C63FFC">
              <w:rPr>
                <w:sz w:val="20"/>
                <w:szCs w:val="20"/>
              </w:rPr>
              <w:br/>
              <w:t>фонда</w:t>
            </w:r>
            <w:r w:rsidRPr="00C63FFC">
              <w:rPr>
                <w:sz w:val="20"/>
                <w:szCs w:val="20"/>
                <w:vertAlign w:val="superscript"/>
              </w:rPr>
              <w:t>7</w:t>
            </w:r>
          </w:p>
          <w:p w:rsidR="00C63FFC" w:rsidRDefault="009E2EF9" w:rsidP="00C63FFC">
            <w:pPr>
              <w:pStyle w:val="newncpi0"/>
              <w:ind w:left="283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М.П.</w:t>
            </w:r>
            <w:r w:rsidRPr="00C63FFC">
              <w:rPr>
                <w:sz w:val="20"/>
                <w:szCs w:val="20"/>
                <w:vertAlign w:val="superscript"/>
              </w:rPr>
              <w:t>5</w:t>
            </w:r>
          </w:p>
          <w:p w:rsidR="009E2EF9" w:rsidRPr="00C63FFC" w:rsidRDefault="009E2EF9" w:rsidP="00C63FFC">
            <w:pPr>
              <w:pStyle w:val="newncpi0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Подпись уполномоченного</w:t>
            </w:r>
            <w:r w:rsidRPr="00C63FFC">
              <w:rPr>
                <w:sz w:val="20"/>
                <w:szCs w:val="20"/>
              </w:rPr>
              <w:br/>
              <w:t>работника депозитария</w:t>
            </w:r>
            <w:r w:rsidRPr="00C63FFC">
              <w:rPr>
                <w:sz w:val="20"/>
                <w:szCs w:val="20"/>
              </w:rPr>
              <w:br/>
              <w:t>переводоотправителя</w:t>
            </w:r>
            <w:r w:rsidRPr="00C63FFC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7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3FFC" w:rsidRDefault="00C63FFC" w:rsidP="00C63FFC">
            <w:pPr>
              <w:pStyle w:val="table10"/>
            </w:pPr>
          </w:p>
          <w:p w:rsidR="009E2EF9" w:rsidRPr="00C63FFC" w:rsidRDefault="009E2EF9" w:rsidP="00C63FFC">
            <w:pPr>
              <w:pStyle w:val="table10"/>
            </w:pPr>
            <w:r w:rsidRPr="00C63FFC">
              <w:t>Проведено депозитарием</w:t>
            </w:r>
            <w:r w:rsidRPr="00C63FFC">
              <w:br/>
              <w:t>Дата</w:t>
            </w:r>
            <w:r w:rsidRPr="00C63FFC">
              <w:br/>
            </w:r>
            <w:r w:rsidRPr="00C63FFC">
              <w:br/>
              <w:t xml:space="preserve">Подпись уполномоченного </w:t>
            </w:r>
            <w:r w:rsidRPr="00C63FFC">
              <w:br/>
              <w:t>работника депозитария</w:t>
            </w:r>
            <w:r w:rsidRPr="00C63FFC">
              <w:rPr>
                <w:vertAlign w:val="superscript"/>
              </w:rPr>
              <w:t>6</w:t>
            </w:r>
            <w:r w:rsidRPr="00C63FFC">
              <w:br/>
            </w:r>
            <w:r w:rsidRPr="00C63FFC">
              <w:br/>
              <w:t>Проведено центральным</w:t>
            </w:r>
            <w:r w:rsidRPr="00C63FFC">
              <w:br/>
              <w:t>депозитарием</w:t>
            </w:r>
            <w:r w:rsidRPr="00C63FFC">
              <w:br/>
              <w:t>Дата</w:t>
            </w:r>
            <w:r w:rsidRPr="00C63FFC">
              <w:br/>
            </w:r>
            <w:r w:rsidRPr="00C63FFC">
              <w:br/>
              <w:t xml:space="preserve">Подпись уполномоченного </w:t>
            </w:r>
            <w:r w:rsidRPr="00C63FFC">
              <w:br/>
              <w:t xml:space="preserve">работника центрального </w:t>
            </w:r>
            <w:r w:rsidRPr="00C63FFC">
              <w:br/>
              <w:t>депозитария</w:t>
            </w:r>
            <w:r w:rsidRPr="00C63FFC">
              <w:rPr>
                <w:vertAlign w:val="superscript"/>
              </w:rPr>
              <w:t>9</w:t>
            </w:r>
          </w:p>
        </w:tc>
      </w:tr>
    </w:tbl>
    <w:p w:rsidR="00B54011" w:rsidRDefault="00B54011" w:rsidP="000B6C1D">
      <w:pPr>
        <w:pStyle w:val="endform"/>
      </w:pPr>
    </w:p>
    <w:p w:rsidR="00B54011" w:rsidRDefault="00B54011" w:rsidP="000B6C1D">
      <w:pPr>
        <w:pStyle w:val="endform"/>
      </w:pPr>
    </w:p>
    <w:p w:rsidR="00B54011" w:rsidRDefault="00B54011" w:rsidP="000B6C1D">
      <w:pPr>
        <w:pStyle w:val="endform"/>
      </w:pPr>
    </w:p>
    <w:p w:rsidR="001365D8" w:rsidRDefault="009E2EF9" w:rsidP="000B6C1D">
      <w:pPr>
        <w:pStyle w:val="endform"/>
        <w:rPr>
          <w:i/>
          <w:color w:val="FF0000"/>
          <w:sz w:val="28"/>
          <w:szCs w:val="28"/>
        </w:rPr>
      </w:pPr>
      <w:r w:rsidRPr="008C4BB5">
        <w:t> </w:t>
      </w:r>
      <w:r w:rsidR="001365D8">
        <w:rPr>
          <w:i/>
          <w:color w:val="FF0000"/>
          <w:sz w:val="28"/>
          <w:szCs w:val="28"/>
        </w:rPr>
        <w:t>Внимание!</w:t>
      </w: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C4DEA">
        <w:rPr>
          <w:rFonts w:ascii="Times New Roman" w:hAnsi="Times New Roman"/>
          <w:i/>
          <w:color w:val="FF0000"/>
          <w:sz w:val="28"/>
          <w:szCs w:val="28"/>
        </w:rPr>
        <w:t>Поручения «депо», представляемые в центральный депозитарий, оформляются только с применением программно-технических средств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A70B1">
        <w:rPr>
          <w:rFonts w:ascii="Times New Roman" w:hAnsi="Times New Roman"/>
          <w:i/>
          <w:color w:val="FF0000"/>
          <w:sz w:val="28"/>
          <w:szCs w:val="28"/>
        </w:rPr>
        <w:t>Депозитарий отказывает в осуществлении перевода ценных бумаг в случа</w:t>
      </w:r>
      <w:r>
        <w:rPr>
          <w:rFonts w:ascii="Times New Roman" w:hAnsi="Times New Roman"/>
          <w:i/>
          <w:color w:val="FF0000"/>
          <w:sz w:val="28"/>
          <w:szCs w:val="28"/>
        </w:rPr>
        <w:t>е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>, если</w:t>
      </w:r>
      <w:r w:rsidR="009E2E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 xml:space="preserve">даты, указанной в реквизите «номер и дата поручения «депо», истекло </w:t>
      </w:r>
      <w:r>
        <w:rPr>
          <w:rFonts w:ascii="Times New Roman" w:hAnsi="Times New Roman"/>
          <w:i/>
          <w:color w:val="FF0000"/>
          <w:sz w:val="28"/>
          <w:szCs w:val="28"/>
        </w:rPr>
        <w:t>10 (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>десять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 xml:space="preserve"> и более календарных дней. При этом течение указанного десятидневного срока начинается со дня, следующего за датой, указанной в реквизите «номер и дата поручения «депо». Если последний день указанного десятидневного срока приходится на нерабочий день, днем окончания срока считается ближайший следующий за ним рабочий день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365D8" w:rsidRPr="00FD2DD5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E2EF9" w:rsidRPr="00FD2DD5" w:rsidRDefault="00445778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r w:rsidRPr="00FD2DD5">
        <w:rPr>
          <w:rFonts w:eastAsiaTheme="minorHAnsi" w:cstheme="minorBidi"/>
          <w:i/>
          <w:color w:val="FF0000"/>
          <w:sz w:val="28"/>
          <w:szCs w:val="28"/>
          <w:lang w:eastAsia="en-US"/>
        </w:rPr>
        <w:t>1 Международные идентификационные коды (ISIN, CFI, FISN) указываются в случае, если национальный идентификационный код выпуска эмиссионных ценных бумаг не присваивался центральным депозитарием выпуску эмиссионных ценных бумаг. При этом международный идентификационный код FISN указывается при его наличии.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2" w:name="a146"/>
      <w:bookmarkEnd w:id="2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2 Заполняется при наличии у депозитария переводоотправителя соответствующих сведений.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3" w:name="a147"/>
      <w:bookmarkEnd w:id="3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3 Количество эмиссионных ценных бумаг указывается прописью только в поручении «депо», оформленном на бумажном носителе.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4" w:name="a148"/>
      <w:bookmarkEnd w:id="4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4 Проставляется на трех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5" w:name="a149"/>
      <w:bookmarkEnd w:id="5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5 Проставляется на трех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 Печать может не проставляться субъектами хозяйствования, которые в соответствии с законодательством Республики Беларусь вправе не использовать печати.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6" w:name="a150"/>
      <w:bookmarkEnd w:id="6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6 Проставляется на одном из экземпляров поручения «депо», представленных в депозитарий для осуществления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7" w:name="a151"/>
      <w:bookmarkEnd w:id="7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7 Проставляется на трех экземплярах поручения «депо», представленных управляющей организацией паевого инвестиционного фонда либо акционерным инвестиционным фондом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8" w:name="a152"/>
      <w:bookmarkEnd w:id="8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8 Проставляется на четырех экземплярах поручения «депо», представленных в центральный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9" w:name="a153"/>
      <w:bookmarkEnd w:id="9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9 Проставляется на одном из четырех экземпляров поручения «депо», представляемых в центральный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sectPr w:rsidR="009E2EF9" w:rsidRPr="009E2EF9" w:rsidSect="000B6C1D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B5"/>
    <w:rsid w:val="00014952"/>
    <w:rsid w:val="000B6C1D"/>
    <w:rsid w:val="001365D8"/>
    <w:rsid w:val="00167C50"/>
    <w:rsid w:val="001A1CAB"/>
    <w:rsid w:val="00444E45"/>
    <w:rsid w:val="00445778"/>
    <w:rsid w:val="00717B5C"/>
    <w:rsid w:val="007A4E10"/>
    <w:rsid w:val="007C46E2"/>
    <w:rsid w:val="00884E47"/>
    <w:rsid w:val="008C4BB5"/>
    <w:rsid w:val="008D4F95"/>
    <w:rsid w:val="009E2EF9"/>
    <w:rsid w:val="00B54011"/>
    <w:rsid w:val="00C16226"/>
    <w:rsid w:val="00C63FFC"/>
    <w:rsid w:val="00D31800"/>
    <w:rsid w:val="00D764E7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B021"/>
  <w15:docId w15:val="{2402DADD-6FD3-4144-B453-E3C97812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00"/>
  </w:style>
  <w:style w:type="paragraph" w:styleId="1">
    <w:name w:val="heading 1"/>
    <w:basedOn w:val="a"/>
    <w:link w:val="10"/>
    <w:uiPriority w:val="9"/>
    <w:qFormat/>
    <w:rsid w:val="008C4BB5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BB5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C4BB5"/>
    <w:rPr>
      <w:shd w:val="clear" w:color="auto" w:fill="FFFF00"/>
    </w:rPr>
  </w:style>
  <w:style w:type="paragraph" w:customStyle="1" w:styleId="part">
    <w:name w:val="par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C4BB5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8C4BB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4BB5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C4BB5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8C4BB5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C4BB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C4BB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C4BB5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C4BB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C4BB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C4BB5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C4BB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C4BB5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C4BB5"/>
    <w:pPr>
      <w:spacing w:before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C4BB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C4BB5"/>
    <w:pPr>
      <w:spacing w:before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C4BB5"/>
    <w:pPr>
      <w:spacing w:before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8C4BB5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8C4BB5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8C4BB5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8C4B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8C4BB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8C4BB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8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8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8C4B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4">
    <w:name w:val="s1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5">
    <w:name w:val="s11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6">
    <w:name w:val="s1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7">
    <w:name w:val="s11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8">
    <w:name w:val="s11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9">
    <w:name w:val="s11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">
    <w:name w:val="s1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1">
    <w:name w:val="s12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2">
    <w:name w:val="s12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3">
    <w:name w:val="s12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4">
    <w:name w:val="s12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5">
    <w:name w:val="s125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6">
    <w:name w:val="s126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7">
    <w:name w:val="s12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8">
    <w:name w:val="s12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9">
    <w:name w:val="s12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0">
    <w:name w:val="s1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1">
    <w:name w:val="s1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2">
    <w:name w:val="s132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3">
    <w:name w:val="s133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4">
    <w:name w:val="s13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5">
    <w:name w:val="s13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6">
    <w:name w:val="s13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7">
    <w:name w:val="s13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8">
    <w:name w:val="s13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9">
    <w:name w:val="s13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0">
    <w:name w:val="s14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1">
    <w:name w:val="s14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2">
    <w:name w:val="s1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3">
    <w:name w:val="s14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4">
    <w:name w:val="s14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5">
    <w:name w:val="s14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6">
    <w:name w:val="s14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7">
    <w:name w:val="s14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8">
    <w:name w:val="s14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9">
    <w:name w:val="s14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0">
    <w:name w:val="s15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1">
    <w:name w:val="s15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2">
    <w:name w:val="s15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3">
    <w:name w:val="s1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4">
    <w:name w:val="s15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5">
    <w:name w:val="s15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6">
    <w:name w:val="s15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7">
    <w:name w:val="s15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8">
    <w:name w:val="s15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9">
    <w:name w:val="s1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0">
    <w:name w:val="s1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1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1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3">
    <w:name w:val="s163"/>
    <w:basedOn w:val="a"/>
    <w:rsid w:val="008C4B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4">
    <w:name w:val="s164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5">
    <w:name w:val="s165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6">
    <w:name w:val="s16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7">
    <w:name w:val="s16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8">
    <w:name w:val="s16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9">
    <w:name w:val="s16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0">
    <w:name w:val="s17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1">
    <w:name w:val="s1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2">
    <w:name w:val="s1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3">
    <w:name w:val="s17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4">
    <w:name w:val="s17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5">
    <w:name w:val="s175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6">
    <w:name w:val="s17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7">
    <w:name w:val="s17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8">
    <w:name w:val="s178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9">
    <w:name w:val="s17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0">
    <w:name w:val="s18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1">
    <w:name w:val="s18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2">
    <w:name w:val="s18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3">
    <w:name w:val="s18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4">
    <w:name w:val="s18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5">
    <w:name w:val="s1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6">
    <w:name w:val="s1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7">
    <w:name w:val="s18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8">
    <w:name w:val="s18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9">
    <w:name w:val="s18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0">
    <w:name w:val="s19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1">
    <w:name w:val="s19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2">
    <w:name w:val="s192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3">
    <w:name w:val="s19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4">
    <w:name w:val="s19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5">
    <w:name w:val="s19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6">
    <w:name w:val="s1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7">
    <w:name w:val="s1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8">
    <w:name w:val="s1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9">
    <w:name w:val="s19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0">
    <w:name w:val="s20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1">
    <w:name w:val="s20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2">
    <w:name w:val="s20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3">
    <w:name w:val="s20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4">
    <w:name w:val="s20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5">
    <w:name w:val="s20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6">
    <w:name w:val="s20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7">
    <w:name w:val="s20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8">
    <w:name w:val="s20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9">
    <w:name w:val="s20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0">
    <w:name w:val="s2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1">
    <w:name w:val="s21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2">
    <w:name w:val="s212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3">
    <w:name w:val="s21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4">
    <w:name w:val="s21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5">
    <w:name w:val="s21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6">
    <w:name w:val="s2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7">
    <w:name w:val="s21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8">
    <w:name w:val="s2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9">
    <w:name w:val="s2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2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2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2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3">
    <w:name w:val="s22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4">
    <w:name w:val="s224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5">
    <w:name w:val="s225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6">
    <w:name w:val="s226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7">
    <w:name w:val="s227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8">
    <w:name w:val="s22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9">
    <w:name w:val="s22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0">
    <w:name w:val="s2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1">
    <w:name w:val="s2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2">
    <w:name w:val="s2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3">
    <w:name w:val="s23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4">
    <w:name w:val="s23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5">
    <w:name w:val="s23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6">
    <w:name w:val="s23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7">
    <w:name w:val="s237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8">
    <w:name w:val="s238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9">
    <w:name w:val="s23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0">
    <w:name w:val="s24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1">
    <w:name w:val="s241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2">
    <w:name w:val="s24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8C4BB5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8C4B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8C4BB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C4BB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C4BB5"/>
    <w:rPr>
      <w:rFonts w:ascii="Symbol" w:hAnsi="Symbol" w:hint="default"/>
    </w:rPr>
  </w:style>
  <w:style w:type="character" w:customStyle="1" w:styleId="onewind3">
    <w:name w:val="onewind3"/>
    <w:basedOn w:val="a0"/>
    <w:rsid w:val="008C4BB5"/>
    <w:rPr>
      <w:rFonts w:ascii="Wingdings 3" w:hAnsi="Wingdings 3" w:hint="default"/>
    </w:rPr>
  </w:style>
  <w:style w:type="character" w:customStyle="1" w:styleId="onewind2">
    <w:name w:val="onewind2"/>
    <w:basedOn w:val="a0"/>
    <w:rsid w:val="008C4BB5"/>
    <w:rPr>
      <w:rFonts w:ascii="Wingdings 2" w:hAnsi="Wingdings 2" w:hint="default"/>
    </w:rPr>
  </w:style>
  <w:style w:type="character" w:customStyle="1" w:styleId="onewind">
    <w:name w:val="onewind"/>
    <w:basedOn w:val="a0"/>
    <w:rsid w:val="008C4BB5"/>
    <w:rPr>
      <w:rFonts w:ascii="Wingdings" w:hAnsi="Wingdings" w:hint="default"/>
    </w:rPr>
  </w:style>
  <w:style w:type="character" w:customStyle="1" w:styleId="rednoun">
    <w:name w:val="rednoun"/>
    <w:basedOn w:val="a0"/>
    <w:rsid w:val="008C4BB5"/>
  </w:style>
  <w:style w:type="character" w:customStyle="1" w:styleId="post">
    <w:name w:val="post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8C4BB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C4BB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C4BB5"/>
    <w:rPr>
      <w:rFonts w:ascii="Arial" w:hAnsi="Arial" w:cs="Arial" w:hint="default"/>
    </w:rPr>
  </w:style>
  <w:style w:type="table" w:customStyle="1" w:styleId="tablencpi">
    <w:name w:val="tablencpi"/>
    <w:basedOn w:val="a1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Лоскот</dc:creator>
  <cp:lastModifiedBy>Вероника Песляк</cp:lastModifiedBy>
  <cp:revision>9</cp:revision>
  <cp:lastPrinted>2019-01-17T14:11:00Z</cp:lastPrinted>
  <dcterms:created xsi:type="dcterms:W3CDTF">2024-02-19T06:23:00Z</dcterms:created>
  <dcterms:modified xsi:type="dcterms:W3CDTF">2024-02-21T07:57:00Z</dcterms:modified>
</cp:coreProperties>
</file>